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00C96" w14:textId="505A1344" w:rsidR="00952D25" w:rsidRDefault="003C799F" w:rsidP="005F35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Změny v odpadovém hospodářství</w:t>
      </w:r>
    </w:p>
    <w:p w14:paraId="3432D35D" w14:textId="61E9C626" w:rsidR="007047C6" w:rsidRDefault="007047C6" w:rsidP="007047C6">
      <w:pPr>
        <w:pStyle w:val="Normlnweb"/>
        <w:spacing w:before="0" w:beforeAutospacing="0" w:after="16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Na začátku roku vstoupil v platnost nový zákon o odpadech a další související zákony, které v mnoha ohledech přináší do České republiky revoluci v odpadovém hospodářství. Jedním z hlavních cílů nového zákona o odpadech je </w:t>
      </w:r>
      <w:r w:rsidR="00BB5809" w:rsidRPr="00BB5809">
        <w:rPr>
          <w:rFonts w:ascii="Calibri" w:hAnsi="Calibri" w:cs="Calibri"/>
          <w:color w:val="000000"/>
          <w:sz w:val="22"/>
          <w:szCs w:val="22"/>
        </w:rPr>
        <w:t>předcházení vzniku odpadu, omezování množství ukládaného odpadu na skládky a vyšší míra třídění komunálních odpadů</w:t>
      </w:r>
      <w:r>
        <w:rPr>
          <w:rFonts w:ascii="Calibri" w:hAnsi="Calibri" w:cs="Calibri"/>
          <w:color w:val="000000"/>
          <w:sz w:val="22"/>
          <w:szCs w:val="22"/>
        </w:rPr>
        <w:t>. Mnoho změn a povinností, které nová legislativa přináší, bude mít v následujících letech přímý dopad na obce a jejich rozpočty. Proto je nutné se touto problematikou více zabývat.</w:t>
      </w:r>
    </w:p>
    <w:p w14:paraId="1CE35D85" w14:textId="040C7073" w:rsidR="007047C6" w:rsidRDefault="007047C6" w:rsidP="007047C6">
      <w:pPr>
        <w:pStyle w:val="Normlnweb"/>
        <w:spacing w:before="0" w:beforeAutospacing="0" w:after="16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Obec </w:t>
      </w:r>
      <w:r w:rsidR="00BB5809">
        <w:rPr>
          <w:rFonts w:ascii="Calibri" w:hAnsi="Calibri" w:cs="Calibri"/>
          <w:color w:val="000000"/>
          <w:sz w:val="22"/>
          <w:szCs w:val="22"/>
        </w:rPr>
        <w:t>Mrákov</w:t>
      </w:r>
      <w:r>
        <w:rPr>
          <w:rFonts w:ascii="Calibri" w:hAnsi="Calibri" w:cs="Calibri"/>
          <w:color w:val="000000"/>
          <w:sz w:val="22"/>
          <w:szCs w:val="22"/>
        </w:rPr>
        <w:t xml:space="preserve"> si za účelem posouzení aktuální připravenosti na plnění povinností nového zákona o odpadech nechala zpracovat analýzu odpadového hospodářství od nezávislé poradenské společnosti ARCH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consulting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Mezi hlavní zjištění analýzy patří například nadprůměrná produkce </w:t>
      </w:r>
      <w:r w:rsidR="00342B59">
        <w:rPr>
          <w:rFonts w:ascii="Calibri" w:hAnsi="Calibri" w:cs="Calibri"/>
          <w:color w:val="000000"/>
          <w:sz w:val="22"/>
          <w:szCs w:val="22"/>
        </w:rPr>
        <w:t>směsného komunálního</w:t>
      </w:r>
      <w:r>
        <w:rPr>
          <w:rFonts w:ascii="Calibri" w:hAnsi="Calibri" w:cs="Calibri"/>
          <w:color w:val="000000"/>
          <w:sz w:val="22"/>
          <w:szCs w:val="22"/>
        </w:rPr>
        <w:t xml:space="preserve"> odpadu</w:t>
      </w:r>
      <w:r w:rsidR="00342B59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v přepočtu na jednoho obyvatele ve srovnání s ostatními obcemi ČR </w:t>
      </w:r>
      <w:r w:rsidR="00342B59">
        <w:rPr>
          <w:rFonts w:ascii="Calibri" w:hAnsi="Calibri" w:cs="Calibri"/>
          <w:color w:val="000000"/>
          <w:sz w:val="22"/>
          <w:szCs w:val="22"/>
        </w:rPr>
        <w:t xml:space="preserve">a </w:t>
      </w:r>
      <w:r>
        <w:rPr>
          <w:rFonts w:ascii="Calibri" w:hAnsi="Calibri" w:cs="Calibri"/>
          <w:color w:val="000000"/>
          <w:sz w:val="22"/>
          <w:szCs w:val="22"/>
        </w:rPr>
        <w:t>nedostatečná míra separace komunálních odpadů (poměr vytříděného a skládkovaného nebo energeticky využitého odpadu).</w:t>
      </w:r>
      <w:r w:rsidR="00342B5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42B59" w:rsidRPr="00342B59">
        <w:rPr>
          <w:rFonts w:ascii="Calibri" w:hAnsi="Calibri" w:cs="Calibri"/>
          <w:color w:val="000000"/>
          <w:sz w:val="22"/>
          <w:szCs w:val="22"/>
        </w:rPr>
        <w:t xml:space="preserve">Na odpadové hospodářství zároveň </w:t>
      </w:r>
      <w:r w:rsidR="00342B59">
        <w:rPr>
          <w:rFonts w:ascii="Calibri" w:hAnsi="Calibri" w:cs="Calibri"/>
          <w:color w:val="000000"/>
          <w:sz w:val="22"/>
          <w:szCs w:val="22"/>
        </w:rPr>
        <w:t>obec</w:t>
      </w:r>
      <w:r w:rsidR="00342B59" w:rsidRPr="00342B59">
        <w:rPr>
          <w:rFonts w:ascii="Calibri" w:hAnsi="Calibri" w:cs="Calibri"/>
          <w:color w:val="000000"/>
          <w:sz w:val="22"/>
          <w:szCs w:val="22"/>
        </w:rPr>
        <w:t xml:space="preserve"> v roce 2020 </w:t>
      </w:r>
      <w:r w:rsidR="00342B59">
        <w:rPr>
          <w:rFonts w:ascii="Calibri" w:hAnsi="Calibri" w:cs="Calibri"/>
          <w:color w:val="000000"/>
          <w:sz w:val="22"/>
          <w:szCs w:val="22"/>
        </w:rPr>
        <w:t xml:space="preserve">doplácela </w:t>
      </w:r>
      <w:r w:rsidR="00342B59" w:rsidRPr="00342B59">
        <w:rPr>
          <w:rFonts w:ascii="Calibri" w:hAnsi="Calibri" w:cs="Calibri"/>
          <w:color w:val="000000"/>
          <w:sz w:val="22"/>
          <w:szCs w:val="22"/>
        </w:rPr>
        <w:t>téměř 4</w:t>
      </w:r>
      <w:r w:rsidR="00342B59">
        <w:rPr>
          <w:rFonts w:ascii="Calibri" w:hAnsi="Calibri" w:cs="Calibri"/>
          <w:color w:val="000000"/>
          <w:sz w:val="22"/>
          <w:szCs w:val="22"/>
        </w:rPr>
        <w:t>7</w:t>
      </w:r>
      <w:r w:rsidR="00342B59" w:rsidRPr="00342B59">
        <w:rPr>
          <w:rFonts w:ascii="Calibri" w:hAnsi="Calibri" w:cs="Calibri"/>
          <w:color w:val="000000"/>
          <w:sz w:val="22"/>
          <w:szCs w:val="22"/>
        </w:rPr>
        <w:t xml:space="preserve"> % výdajů, což </w:t>
      </w:r>
      <w:r w:rsidR="00342B59">
        <w:rPr>
          <w:rFonts w:ascii="Calibri" w:hAnsi="Calibri" w:cs="Calibri"/>
          <w:color w:val="000000"/>
          <w:sz w:val="22"/>
          <w:szCs w:val="22"/>
        </w:rPr>
        <w:t xml:space="preserve">představuje </w:t>
      </w:r>
      <w:r w:rsidR="00342B59" w:rsidRPr="00342B59">
        <w:rPr>
          <w:rFonts w:ascii="Calibri" w:hAnsi="Calibri" w:cs="Calibri"/>
          <w:color w:val="000000"/>
          <w:sz w:val="22"/>
          <w:szCs w:val="22"/>
        </w:rPr>
        <w:t>více jak</w:t>
      </w:r>
      <w:r w:rsidR="00342B59">
        <w:rPr>
          <w:rFonts w:ascii="Calibri" w:hAnsi="Calibri" w:cs="Calibri"/>
          <w:color w:val="000000"/>
          <w:sz w:val="22"/>
          <w:szCs w:val="22"/>
        </w:rPr>
        <w:t xml:space="preserve"> 750 000</w:t>
      </w:r>
      <w:r w:rsidR="00342B59" w:rsidRPr="00342B59">
        <w:rPr>
          <w:rFonts w:ascii="Calibri" w:hAnsi="Calibri" w:cs="Calibri"/>
          <w:color w:val="000000"/>
          <w:sz w:val="22"/>
          <w:szCs w:val="22"/>
        </w:rPr>
        <w:t xml:space="preserve"> Kč. </w:t>
      </w:r>
      <w:r w:rsidR="00146AC2">
        <w:rPr>
          <w:rFonts w:ascii="Calibri" w:hAnsi="Calibri" w:cs="Calibri"/>
          <w:color w:val="000000"/>
          <w:sz w:val="22"/>
          <w:szCs w:val="22"/>
        </w:rPr>
        <w:t>V Mrákově bude nutné přistoupit ke</w:t>
      </w:r>
      <w:r w:rsidR="00342B59" w:rsidRPr="00342B59">
        <w:rPr>
          <w:rFonts w:ascii="Calibri" w:hAnsi="Calibri" w:cs="Calibri"/>
          <w:color w:val="000000"/>
          <w:sz w:val="22"/>
          <w:szCs w:val="22"/>
        </w:rPr>
        <w:t xml:space="preserve"> koncepční</w:t>
      </w:r>
      <w:r w:rsidR="00146AC2">
        <w:rPr>
          <w:rFonts w:ascii="Calibri" w:hAnsi="Calibri" w:cs="Calibri"/>
          <w:color w:val="000000"/>
          <w:sz w:val="22"/>
          <w:szCs w:val="22"/>
        </w:rPr>
        <w:t>m</w:t>
      </w:r>
      <w:r w:rsidR="00342B59" w:rsidRPr="00342B59">
        <w:rPr>
          <w:rFonts w:ascii="Calibri" w:hAnsi="Calibri" w:cs="Calibri"/>
          <w:color w:val="000000"/>
          <w:sz w:val="22"/>
          <w:szCs w:val="22"/>
        </w:rPr>
        <w:t xml:space="preserve"> změn</w:t>
      </w:r>
      <w:r w:rsidR="00146AC2">
        <w:rPr>
          <w:rFonts w:ascii="Calibri" w:hAnsi="Calibri" w:cs="Calibri"/>
          <w:color w:val="000000"/>
          <w:sz w:val="22"/>
          <w:szCs w:val="22"/>
        </w:rPr>
        <w:t>ám v systému nakládání s odpady</w:t>
      </w:r>
      <w:r w:rsidR="00342B59" w:rsidRPr="00342B59">
        <w:rPr>
          <w:rFonts w:ascii="Calibri" w:hAnsi="Calibri" w:cs="Calibri"/>
          <w:color w:val="000000"/>
          <w:sz w:val="22"/>
          <w:szCs w:val="22"/>
        </w:rPr>
        <w:t>,</w:t>
      </w:r>
      <w:r w:rsidR="00146AC2">
        <w:rPr>
          <w:rFonts w:ascii="Calibri" w:hAnsi="Calibri" w:cs="Calibri"/>
          <w:color w:val="000000"/>
          <w:sz w:val="22"/>
          <w:szCs w:val="22"/>
        </w:rPr>
        <w:t xml:space="preserve"> jinak</w:t>
      </w:r>
      <w:r w:rsidR="00342B59" w:rsidRPr="00342B59">
        <w:rPr>
          <w:rFonts w:ascii="Calibri" w:hAnsi="Calibri" w:cs="Calibri"/>
          <w:color w:val="000000"/>
          <w:sz w:val="22"/>
          <w:szCs w:val="22"/>
        </w:rPr>
        <w:t xml:space="preserve"> bude v důsledku nové legislativy míra doplatku </w:t>
      </w:r>
      <w:r w:rsidR="00146AC2">
        <w:rPr>
          <w:rFonts w:ascii="Calibri" w:hAnsi="Calibri" w:cs="Calibri"/>
          <w:color w:val="000000"/>
          <w:sz w:val="22"/>
          <w:szCs w:val="22"/>
        </w:rPr>
        <w:t>v dalších letech</w:t>
      </w:r>
      <w:r w:rsidR="00342B59" w:rsidRPr="00342B59">
        <w:rPr>
          <w:rFonts w:ascii="Calibri" w:hAnsi="Calibri" w:cs="Calibri"/>
          <w:color w:val="000000"/>
          <w:sz w:val="22"/>
          <w:szCs w:val="22"/>
        </w:rPr>
        <w:t xml:space="preserve"> rapidně růst</w:t>
      </w:r>
    </w:p>
    <w:p w14:paraId="59877CC6" w14:textId="21A07488" w:rsidR="007047C6" w:rsidRDefault="007047C6" w:rsidP="007047C6">
      <w:pPr>
        <w:pStyle w:val="Normlnweb"/>
        <w:spacing w:before="0" w:beforeAutospacing="0" w:after="16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Na základě výsledků analýzy bude ve spolupráci se společností ARCH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consulting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v následujících měsících vytvořena strategie odpadového hospodářství obce, která bude mít za cíl postupnými kroky změnit a optimalizovat současný systém nakládání s odpady v obci tak, aby byly splněny všechny zákonné povinnosti a minimalizovaly se dopady nového zákona na obecní rozpočet, a tudíž i na výši poplatku za svoz odpadu od občanů.</w:t>
      </w:r>
    </w:p>
    <w:p w14:paraId="446C109A" w14:textId="00C5B0D3" w:rsidR="006B38C1" w:rsidRPr="006B38C1" w:rsidRDefault="007047C6" w:rsidP="007047C6">
      <w:pPr>
        <w:pStyle w:val="Normlnweb"/>
        <w:spacing w:before="0" w:beforeAutospacing="0" w:after="16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 všech budoucích změnách v systému sběru a nakládání s odpady v obci budou občané včas informováni, nicméně již dnes je jisté, že bez spolupráce a většího zájmu o danou problematiku ze strany občanů nebude možné splnit požadavky, které na nás nová odpadová legislativa klade.</w:t>
      </w:r>
    </w:p>
    <w:p w14:paraId="55086F48" w14:textId="77777777" w:rsidR="006B38C1" w:rsidRDefault="006B38C1" w:rsidP="006B38C1">
      <w:pPr>
        <w:jc w:val="center"/>
      </w:pPr>
    </w:p>
    <w:p w14:paraId="7522F0DF" w14:textId="3F26F817" w:rsidR="00986E2C" w:rsidRDefault="006B38C1" w:rsidP="006B38C1">
      <w:pPr>
        <w:jc w:val="center"/>
      </w:pPr>
      <w:r>
        <w:rPr>
          <w:noProof/>
        </w:rPr>
        <w:drawing>
          <wp:inline distT="0" distB="0" distL="0" distR="0" wp14:anchorId="7E52C33F" wp14:editId="48194338">
            <wp:extent cx="2960673" cy="1711960"/>
            <wp:effectExtent l="0" t="0" r="0" b="254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901" cy="17172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B35E76" w14:textId="4CE01542" w:rsidR="006B38C1" w:rsidRPr="006B38C1" w:rsidRDefault="006B38C1" w:rsidP="006B38C1">
      <w:pPr>
        <w:jc w:val="center"/>
      </w:pPr>
    </w:p>
    <w:sectPr w:rsidR="006B38C1" w:rsidRPr="006B38C1" w:rsidSect="006B38C1">
      <w:headerReference w:type="default" r:id="rId7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EFDE3" w14:textId="77777777" w:rsidR="009A75F1" w:rsidRDefault="009A75F1" w:rsidP="005F35A0">
      <w:pPr>
        <w:spacing w:after="0" w:line="240" w:lineRule="auto"/>
      </w:pPr>
      <w:r>
        <w:separator/>
      </w:r>
    </w:p>
  </w:endnote>
  <w:endnote w:type="continuationSeparator" w:id="0">
    <w:p w14:paraId="53F3BD6E" w14:textId="77777777" w:rsidR="009A75F1" w:rsidRDefault="009A75F1" w:rsidP="005F3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D2772" w14:textId="77777777" w:rsidR="009A75F1" w:rsidRDefault="009A75F1" w:rsidP="005F35A0">
      <w:pPr>
        <w:spacing w:after="0" w:line="240" w:lineRule="auto"/>
      </w:pPr>
      <w:r>
        <w:separator/>
      </w:r>
    </w:p>
  </w:footnote>
  <w:footnote w:type="continuationSeparator" w:id="0">
    <w:p w14:paraId="29BFA75A" w14:textId="77777777" w:rsidR="009A75F1" w:rsidRDefault="009A75F1" w:rsidP="005F3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72DCC" w14:textId="15114141" w:rsidR="005F35A0" w:rsidRDefault="001464B7" w:rsidP="001464B7">
    <w:pPr>
      <w:spacing w:after="240"/>
      <w:jc w:val="center"/>
      <w:rPr>
        <w:rFonts w:eastAsia="Times New Roman" w:cs="Times New Roman"/>
        <w:b/>
        <w:color w:val="666666"/>
      </w:rPr>
    </w:pPr>
    <w:r>
      <w:rPr>
        <w:noProof/>
      </w:rPr>
      <w:drawing>
        <wp:inline distT="0" distB="0" distL="0" distR="0" wp14:anchorId="404C8522" wp14:editId="2FEFDFD2">
          <wp:extent cx="1552575" cy="1562100"/>
          <wp:effectExtent l="0" t="0" r="9525" b="0"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2580" cy="15621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2011FD9" w14:textId="4DBC58DD" w:rsidR="001464B7" w:rsidRPr="001464B7" w:rsidRDefault="001464B7" w:rsidP="001464B7">
    <w:pPr>
      <w:spacing w:after="240"/>
      <w:jc w:val="center"/>
      <w:rPr>
        <w:rFonts w:eastAsia="Times New Roman" w:cs="Times New Roman"/>
        <w:bCs/>
        <w:color w:val="666666"/>
        <w:sz w:val="48"/>
        <w:szCs w:val="48"/>
      </w:rPr>
    </w:pPr>
    <w:r>
      <w:rPr>
        <w:rFonts w:eastAsia="Times New Roman" w:cs="Times New Roman"/>
        <w:bCs/>
        <w:color w:val="666666"/>
        <w:sz w:val="48"/>
        <w:szCs w:val="48"/>
      </w:rPr>
      <w:t>OBEC MRÁKOV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4C8"/>
    <w:rsid w:val="000109C7"/>
    <w:rsid w:val="0004784D"/>
    <w:rsid w:val="001464B7"/>
    <w:rsid w:val="00146AC2"/>
    <w:rsid w:val="00301EC3"/>
    <w:rsid w:val="00342B59"/>
    <w:rsid w:val="003C799F"/>
    <w:rsid w:val="00402FDC"/>
    <w:rsid w:val="004B4BAB"/>
    <w:rsid w:val="005F35A0"/>
    <w:rsid w:val="006B38C1"/>
    <w:rsid w:val="007047C6"/>
    <w:rsid w:val="00775065"/>
    <w:rsid w:val="007A6881"/>
    <w:rsid w:val="00823467"/>
    <w:rsid w:val="00952D25"/>
    <w:rsid w:val="00986E2C"/>
    <w:rsid w:val="009A75F1"/>
    <w:rsid w:val="00AE24C8"/>
    <w:rsid w:val="00BB5809"/>
    <w:rsid w:val="00BC37F5"/>
    <w:rsid w:val="00D05859"/>
    <w:rsid w:val="00EF5A0A"/>
    <w:rsid w:val="00FD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8AFA3"/>
  <w15:chartTrackingRefBased/>
  <w15:docId w15:val="{22E9017A-E304-479F-92A4-1B135D20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3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35A0"/>
  </w:style>
  <w:style w:type="paragraph" w:styleId="Zpat">
    <w:name w:val="footer"/>
    <w:basedOn w:val="Normln"/>
    <w:link w:val="ZpatChar"/>
    <w:uiPriority w:val="99"/>
    <w:unhideWhenUsed/>
    <w:rsid w:val="005F3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35A0"/>
  </w:style>
  <w:style w:type="paragraph" w:styleId="Normlnweb">
    <w:name w:val="Normal (Web)"/>
    <w:basedOn w:val="Normln"/>
    <w:uiPriority w:val="99"/>
    <w:semiHidden/>
    <w:unhideWhenUsed/>
    <w:rsid w:val="0070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0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Miloň Malina</dc:creator>
  <cp:keywords/>
  <dc:description/>
  <cp:lastModifiedBy>x</cp:lastModifiedBy>
  <cp:revision>2</cp:revision>
  <cp:lastPrinted>2021-08-24T06:23:00Z</cp:lastPrinted>
  <dcterms:created xsi:type="dcterms:W3CDTF">2021-08-24T06:23:00Z</dcterms:created>
  <dcterms:modified xsi:type="dcterms:W3CDTF">2021-08-24T06:23:00Z</dcterms:modified>
</cp:coreProperties>
</file>